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72" w:rsidRPr="005A2972" w:rsidRDefault="005A2972" w:rsidP="0043041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b/>
          <w:bCs/>
          <w:sz w:val="20"/>
          <w:szCs w:val="20"/>
        </w:rPr>
        <w:t>BORULAR VE HORTUMLAR</w:t>
      </w:r>
    </w:p>
    <w:p w:rsidR="0043041D" w:rsidRDefault="0043041D" w:rsidP="0043041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5A2972" w:rsidRDefault="005A2972" w:rsidP="0043041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5A2972">
        <w:rPr>
          <w:rFonts w:ascii="Arial" w:hAnsi="Arial" w:cs="Arial"/>
          <w:b/>
          <w:bCs/>
          <w:sz w:val="20"/>
          <w:szCs w:val="20"/>
        </w:rPr>
        <w:t xml:space="preserve">Akış Türleri </w:t>
      </w:r>
    </w:p>
    <w:p w:rsidR="0043041D" w:rsidRPr="005A2972" w:rsidRDefault="0043041D" w:rsidP="0043041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A2972" w:rsidRPr="005A2972" w:rsidRDefault="005A2972" w:rsidP="0043041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Boru çapı ve akış hızına bağlı olarak iki tür akış vardır: </w:t>
      </w:r>
    </w:p>
    <w:p w:rsidR="005A2972" w:rsidRPr="005A2972" w:rsidRDefault="005A2972" w:rsidP="0043041D">
      <w:pPr>
        <w:pStyle w:val="Default"/>
        <w:spacing w:after="4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> Katmanlı akış; Akışkan Düzgün akış sağlar.</w:t>
      </w:r>
    </w:p>
    <w:p w:rsidR="005A2972" w:rsidRDefault="005A2972" w:rsidP="0043041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 Türbülanslı akış. Akışkan parçacıkları da katmanlı akışta olduğu gibi düzgün sıralar hâlinde değil, birbirine çarparak karmakarışık akar. </w:t>
      </w:r>
    </w:p>
    <w:p w:rsidR="0043041D" w:rsidRPr="005A2972" w:rsidRDefault="0043041D" w:rsidP="0043041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A2972" w:rsidRDefault="005A2972" w:rsidP="0043041D">
      <w:pPr>
        <w:pStyle w:val="Default"/>
        <w:ind w:right="65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A2972">
        <w:rPr>
          <w:rFonts w:ascii="Arial" w:hAnsi="Arial" w:cs="Arial"/>
          <w:b/>
          <w:bCs/>
          <w:sz w:val="20"/>
          <w:szCs w:val="20"/>
        </w:rPr>
        <w:t>Reynolds</w:t>
      </w:r>
      <w:proofErr w:type="spellEnd"/>
      <w:r w:rsidRPr="005A2972">
        <w:rPr>
          <w:rFonts w:ascii="Arial" w:hAnsi="Arial" w:cs="Arial"/>
          <w:b/>
          <w:bCs/>
          <w:sz w:val="20"/>
          <w:szCs w:val="20"/>
        </w:rPr>
        <w:t xml:space="preserve"> Sayısı</w:t>
      </w:r>
    </w:p>
    <w:p w:rsidR="0043041D" w:rsidRPr="005A2972" w:rsidRDefault="0043041D" w:rsidP="0043041D">
      <w:pPr>
        <w:pStyle w:val="Default"/>
        <w:ind w:right="650"/>
        <w:jc w:val="both"/>
        <w:rPr>
          <w:rFonts w:ascii="Arial" w:hAnsi="Arial" w:cs="Arial"/>
          <w:sz w:val="20"/>
          <w:szCs w:val="20"/>
        </w:rPr>
      </w:pPr>
    </w:p>
    <w:p w:rsidR="00D5088A" w:rsidRPr="005A2972" w:rsidRDefault="005A2972" w:rsidP="0043041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A2972">
        <w:rPr>
          <w:rFonts w:ascii="Arial" w:hAnsi="Arial" w:cs="Arial"/>
          <w:sz w:val="20"/>
          <w:szCs w:val="20"/>
        </w:rPr>
        <w:t>Laminer</w:t>
      </w:r>
      <w:proofErr w:type="spellEnd"/>
      <w:r w:rsidRPr="005A2972">
        <w:rPr>
          <w:rFonts w:ascii="Arial" w:hAnsi="Arial" w:cs="Arial"/>
          <w:sz w:val="20"/>
          <w:szCs w:val="20"/>
        </w:rPr>
        <w:t xml:space="preserve"> akıştan </w:t>
      </w:r>
      <w:proofErr w:type="gramStart"/>
      <w:r w:rsidRPr="005A2972">
        <w:rPr>
          <w:rFonts w:ascii="Arial" w:hAnsi="Arial" w:cs="Arial"/>
          <w:sz w:val="20"/>
          <w:szCs w:val="20"/>
        </w:rPr>
        <w:t>türbülanslı</w:t>
      </w:r>
      <w:proofErr w:type="gramEnd"/>
      <w:r w:rsidRPr="005A2972">
        <w:rPr>
          <w:rFonts w:ascii="Arial" w:hAnsi="Arial" w:cs="Arial"/>
          <w:sz w:val="20"/>
          <w:szCs w:val="20"/>
        </w:rPr>
        <w:t xml:space="preserve"> akışa geçiş, diğer faktörlerin yanında geometriye, yüzey pürüzlülüğüne, akış hızına, yüzey sıcaklığına ve akışkan türüne de bağlıdır. 1880’li yıllarda detaylı deneylerden sonra </w:t>
      </w:r>
      <w:proofErr w:type="spellStart"/>
      <w:r w:rsidRPr="005A2972">
        <w:rPr>
          <w:rFonts w:ascii="Arial" w:hAnsi="Arial" w:cs="Arial"/>
          <w:sz w:val="20"/>
          <w:szCs w:val="20"/>
        </w:rPr>
        <w:t>Osborne</w:t>
      </w:r>
      <w:proofErr w:type="spellEnd"/>
      <w:r w:rsidRPr="005A29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2972">
        <w:rPr>
          <w:rFonts w:ascii="Arial" w:hAnsi="Arial" w:cs="Arial"/>
          <w:sz w:val="20"/>
          <w:szCs w:val="20"/>
        </w:rPr>
        <w:t>Reynolds</w:t>
      </w:r>
      <w:proofErr w:type="spellEnd"/>
      <w:r w:rsidRPr="005A2972">
        <w:rPr>
          <w:rFonts w:ascii="Arial" w:hAnsi="Arial" w:cs="Arial"/>
          <w:sz w:val="20"/>
          <w:szCs w:val="20"/>
        </w:rPr>
        <w:t xml:space="preserve">, akış rejiminin, temelde atalet kuvvetlerinin akışkandaki viskoz kuvvetlere oranına bağlı olduğunu buldu. Bu orana </w:t>
      </w:r>
      <w:proofErr w:type="spellStart"/>
      <w:r w:rsidRPr="005A2972">
        <w:rPr>
          <w:rFonts w:ascii="Arial" w:hAnsi="Arial" w:cs="Arial"/>
          <w:sz w:val="20"/>
          <w:szCs w:val="20"/>
        </w:rPr>
        <w:t>Reynolds</w:t>
      </w:r>
      <w:proofErr w:type="spellEnd"/>
      <w:r w:rsidRPr="005A2972">
        <w:rPr>
          <w:rFonts w:ascii="Arial" w:hAnsi="Arial" w:cs="Arial"/>
          <w:sz w:val="20"/>
          <w:szCs w:val="20"/>
        </w:rPr>
        <w:t xml:space="preserve"> sayısı denir ve dairesel bir borudaki iç akış için aşağıdaki gibi ifade edilir. Dairesel olmayan borularda akış için </w:t>
      </w:r>
      <w:proofErr w:type="spellStart"/>
      <w:r w:rsidRPr="005A2972">
        <w:rPr>
          <w:rFonts w:ascii="Arial" w:hAnsi="Arial" w:cs="Arial"/>
          <w:sz w:val="20"/>
          <w:szCs w:val="20"/>
        </w:rPr>
        <w:t>Reynolds</w:t>
      </w:r>
      <w:proofErr w:type="spellEnd"/>
      <w:r w:rsidRPr="005A2972">
        <w:rPr>
          <w:rFonts w:ascii="Arial" w:hAnsi="Arial" w:cs="Arial"/>
          <w:sz w:val="20"/>
          <w:szCs w:val="20"/>
        </w:rPr>
        <w:t xml:space="preserve"> sayısı yukarıda gösterildiği gibi hidrolik çapa (D) bağlıdır.</w:t>
      </w:r>
      <w:r w:rsidR="0043041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5A2972">
        <w:rPr>
          <w:rFonts w:ascii="Arial" w:hAnsi="Arial" w:cs="Arial"/>
          <w:sz w:val="20"/>
          <w:szCs w:val="20"/>
        </w:rPr>
        <w:t>Laminer</w:t>
      </w:r>
      <w:proofErr w:type="spellEnd"/>
      <w:r w:rsidRPr="005A2972">
        <w:rPr>
          <w:rFonts w:ascii="Arial" w:hAnsi="Arial" w:cs="Arial"/>
          <w:sz w:val="20"/>
          <w:szCs w:val="20"/>
        </w:rPr>
        <w:t xml:space="preserve">, geçiş ve </w:t>
      </w:r>
      <w:proofErr w:type="gramStart"/>
      <w:r w:rsidRPr="005A2972">
        <w:rPr>
          <w:rFonts w:ascii="Arial" w:hAnsi="Arial" w:cs="Arial"/>
          <w:sz w:val="20"/>
          <w:szCs w:val="20"/>
        </w:rPr>
        <w:t>türbülanslı</w:t>
      </w:r>
      <w:proofErr w:type="gramEnd"/>
      <w:r w:rsidRPr="005A2972">
        <w:rPr>
          <w:rFonts w:ascii="Arial" w:hAnsi="Arial" w:cs="Arial"/>
          <w:sz w:val="20"/>
          <w:szCs w:val="20"/>
        </w:rPr>
        <w:t xml:space="preserve"> akışlar için </w:t>
      </w:r>
      <w:proofErr w:type="spellStart"/>
      <w:r w:rsidRPr="005A2972">
        <w:rPr>
          <w:rFonts w:ascii="Arial" w:hAnsi="Arial" w:cs="Arial"/>
          <w:sz w:val="20"/>
          <w:szCs w:val="20"/>
        </w:rPr>
        <w:t>Reynolds</w:t>
      </w:r>
      <w:proofErr w:type="spellEnd"/>
      <w:r w:rsidRPr="005A2972">
        <w:rPr>
          <w:rFonts w:ascii="Arial" w:hAnsi="Arial" w:cs="Arial"/>
          <w:sz w:val="20"/>
          <w:szCs w:val="20"/>
        </w:rPr>
        <w:t xml:space="preserve"> sayısının kesin değerlerinin bilinmesi istenir. Fakat bu durum pratikte zordur. Çünkü </w:t>
      </w:r>
      <w:proofErr w:type="spellStart"/>
      <w:r w:rsidRPr="005A2972">
        <w:rPr>
          <w:rFonts w:ascii="Arial" w:hAnsi="Arial" w:cs="Arial"/>
          <w:sz w:val="20"/>
          <w:szCs w:val="20"/>
        </w:rPr>
        <w:t>laminer</w:t>
      </w:r>
      <w:proofErr w:type="spellEnd"/>
      <w:r w:rsidRPr="005A2972">
        <w:rPr>
          <w:rFonts w:ascii="Arial" w:hAnsi="Arial" w:cs="Arial"/>
          <w:sz w:val="20"/>
          <w:szCs w:val="20"/>
        </w:rPr>
        <w:t xml:space="preserve"> akıştan </w:t>
      </w:r>
      <w:proofErr w:type="gramStart"/>
      <w:r w:rsidRPr="005A2972">
        <w:rPr>
          <w:rFonts w:ascii="Arial" w:hAnsi="Arial" w:cs="Arial"/>
          <w:sz w:val="20"/>
          <w:szCs w:val="20"/>
        </w:rPr>
        <w:t>türbülanslı</w:t>
      </w:r>
      <w:proofErr w:type="gramEnd"/>
      <w:r w:rsidRPr="005A2972">
        <w:rPr>
          <w:rFonts w:ascii="Arial" w:hAnsi="Arial" w:cs="Arial"/>
          <w:sz w:val="20"/>
          <w:szCs w:val="20"/>
        </w:rPr>
        <w:t xml:space="preserve"> akışa geçiş, yüzey pürüzlülüğü, boru titreşimi ve akıştaki değişimler nedeniyle akışın karışıklık derecesine de bağlıdır. Çoğu pratik şartlar altında dairesel bir borudaki akış, Re &lt; 2300 için </w:t>
      </w:r>
      <w:proofErr w:type="spellStart"/>
      <w:r w:rsidRPr="005A2972">
        <w:rPr>
          <w:rFonts w:ascii="Arial" w:hAnsi="Arial" w:cs="Arial"/>
          <w:sz w:val="20"/>
          <w:szCs w:val="20"/>
        </w:rPr>
        <w:t>laminer</w:t>
      </w:r>
      <w:proofErr w:type="spellEnd"/>
      <w:r w:rsidRPr="005A2972">
        <w:rPr>
          <w:rFonts w:ascii="Arial" w:hAnsi="Arial" w:cs="Arial"/>
          <w:sz w:val="20"/>
          <w:szCs w:val="20"/>
        </w:rPr>
        <w:t xml:space="preserve">, Re &gt; 4000 için </w:t>
      </w:r>
      <w:proofErr w:type="gramStart"/>
      <w:r w:rsidRPr="005A2972">
        <w:rPr>
          <w:rFonts w:ascii="Arial" w:hAnsi="Arial" w:cs="Arial"/>
          <w:sz w:val="20"/>
          <w:szCs w:val="20"/>
        </w:rPr>
        <w:t>türbülanslı</w:t>
      </w:r>
      <w:proofErr w:type="gramEnd"/>
      <w:r w:rsidRPr="005A2972">
        <w:rPr>
          <w:rFonts w:ascii="Arial" w:hAnsi="Arial" w:cs="Arial"/>
          <w:sz w:val="20"/>
          <w:szCs w:val="20"/>
        </w:rPr>
        <w:t xml:space="preserve"> ve bu değerler arasında geçiş evresindedir.</w:t>
      </w:r>
    </w:p>
    <w:p w:rsidR="0043041D" w:rsidRDefault="0043041D" w:rsidP="0043041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A2972" w:rsidRPr="005A2972" w:rsidRDefault="005A2972" w:rsidP="0043041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A2972">
        <w:rPr>
          <w:rFonts w:ascii="Arial" w:hAnsi="Arial" w:cs="Arial"/>
          <w:b/>
          <w:bCs/>
          <w:sz w:val="20"/>
          <w:szCs w:val="20"/>
        </w:rPr>
        <w:t>Bağlantı Elemanları</w:t>
      </w:r>
    </w:p>
    <w:p w:rsidR="005A2972" w:rsidRPr="005A2972" w:rsidRDefault="005A2972" w:rsidP="0043041D">
      <w:pPr>
        <w:jc w:val="both"/>
        <w:rPr>
          <w:rFonts w:ascii="Arial" w:hAnsi="Arial" w:cs="Arial"/>
          <w:bCs/>
          <w:sz w:val="20"/>
          <w:szCs w:val="20"/>
        </w:rPr>
      </w:pPr>
      <w:r w:rsidRPr="005A2972">
        <w:rPr>
          <w:rFonts w:ascii="Arial" w:hAnsi="Arial" w:cs="Arial"/>
          <w:bCs/>
          <w:sz w:val="20"/>
          <w:szCs w:val="20"/>
        </w:rPr>
        <w:t>Hidrolik devreleri birbirine bağlayan sistemlerdir. Çeşitleri;</w:t>
      </w:r>
    </w:p>
    <w:p w:rsidR="005A2972" w:rsidRPr="005A2972" w:rsidRDefault="005A2972" w:rsidP="0043041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>Borular ve hortumlar,</w:t>
      </w:r>
    </w:p>
    <w:p w:rsidR="005A2972" w:rsidRPr="005A2972" w:rsidRDefault="005A2972" w:rsidP="0043041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b/>
          <w:bCs/>
          <w:sz w:val="20"/>
          <w:szCs w:val="20"/>
        </w:rPr>
        <w:t xml:space="preserve">Borulama </w:t>
      </w:r>
    </w:p>
    <w:p w:rsidR="005A2972" w:rsidRPr="005A2972" w:rsidRDefault="005A2972" w:rsidP="0043041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Borulama, hidrolik akışkanını elemanlar arasında taşıyan boruları ve bağlantı elemanlarını içeren bir deyimdir. </w:t>
      </w:r>
    </w:p>
    <w:p w:rsidR="005A2972" w:rsidRPr="005A2972" w:rsidRDefault="005A2972" w:rsidP="0043041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b/>
          <w:bCs/>
          <w:sz w:val="20"/>
          <w:szCs w:val="20"/>
        </w:rPr>
        <w:t xml:space="preserve">Borular </w:t>
      </w:r>
    </w:p>
    <w:p w:rsidR="005A2972" w:rsidRPr="005A2972" w:rsidRDefault="005A2972" w:rsidP="0043041D">
      <w:pPr>
        <w:pStyle w:val="Default"/>
        <w:spacing w:after="6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>Basınç hattında kullanılan borular dikişsiz çelik çekme borulardır. Borular paslanmayı önlemek amacıyla fosfatlama işleminden geçirilir. Boruların standartlara uygun olarak bağlanması, kaçakların azaltılması ve sistemdeki gürültülü çalışmadan kaçınmak için gereklidir.</w:t>
      </w:r>
    </w:p>
    <w:p w:rsidR="005A2972" w:rsidRPr="005A2972" w:rsidRDefault="005A2972" w:rsidP="0043041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Rakorlardır. </w:t>
      </w:r>
    </w:p>
    <w:p w:rsidR="0043041D" w:rsidRDefault="0043041D" w:rsidP="0043041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5A2972" w:rsidRDefault="005A2972" w:rsidP="0043041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5A2972">
        <w:rPr>
          <w:rFonts w:ascii="Arial" w:hAnsi="Arial" w:cs="Arial"/>
          <w:b/>
          <w:bCs/>
          <w:sz w:val="20"/>
          <w:szCs w:val="20"/>
        </w:rPr>
        <w:t xml:space="preserve">Boru Seçiminde ve Montajında Dikkat Edilecek Hususlar </w:t>
      </w:r>
    </w:p>
    <w:p w:rsidR="0043041D" w:rsidRPr="005A2972" w:rsidRDefault="0043041D" w:rsidP="0043041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A2972" w:rsidRPr="005A2972" w:rsidRDefault="005A2972" w:rsidP="0043041D">
      <w:pPr>
        <w:pStyle w:val="Default"/>
        <w:numPr>
          <w:ilvl w:val="0"/>
          <w:numId w:val="1"/>
        </w:numPr>
        <w:spacing w:after="6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Boruların iç yüzeyleri pürüzsüz ve temiz olmalıdır. </w:t>
      </w:r>
    </w:p>
    <w:p w:rsidR="005A2972" w:rsidRPr="005A2972" w:rsidRDefault="005A2972" w:rsidP="0043041D">
      <w:pPr>
        <w:pStyle w:val="Default"/>
        <w:numPr>
          <w:ilvl w:val="0"/>
          <w:numId w:val="1"/>
        </w:numPr>
        <w:spacing w:after="6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Takıldıkları yerlerde kıvrım sayısı az olmalıdır. </w:t>
      </w:r>
    </w:p>
    <w:p w:rsidR="005A2972" w:rsidRPr="005A2972" w:rsidRDefault="005A2972" w:rsidP="0043041D">
      <w:pPr>
        <w:pStyle w:val="Default"/>
        <w:numPr>
          <w:ilvl w:val="0"/>
          <w:numId w:val="1"/>
        </w:numPr>
        <w:spacing w:after="6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Sisteme uygun çapta ve uzunlukta olmalıdır. </w:t>
      </w:r>
    </w:p>
    <w:p w:rsidR="005A2972" w:rsidRPr="005A2972" w:rsidRDefault="005A2972" w:rsidP="0043041D">
      <w:pPr>
        <w:pStyle w:val="Default"/>
        <w:numPr>
          <w:ilvl w:val="0"/>
          <w:numId w:val="1"/>
        </w:numPr>
        <w:spacing w:after="6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Üzerine yeterince hava alma musluğu takılmalıdır. </w:t>
      </w:r>
    </w:p>
    <w:p w:rsidR="005A2972" w:rsidRPr="005A2972" w:rsidRDefault="005A2972" w:rsidP="0043041D">
      <w:pPr>
        <w:pStyle w:val="Default"/>
        <w:numPr>
          <w:ilvl w:val="0"/>
          <w:numId w:val="1"/>
        </w:numPr>
        <w:spacing w:after="6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Gereksiz eklerden kaçınılmalıdır. </w:t>
      </w:r>
    </w:p>
    <w:p w:rsidR="005A2972" w:rsidRPr="005A2972" w:rsidRDefault="005A2972" w:rsidP="0043041D">
      <w:pPr>
        <w:pStyle w:val="Default"/>
        <w:numPr>
          <w:ilvl w:val="0"/>
          <w:numId w:val="1"/>
        </w:numPr>
        <w:spacing w:after="6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Basınç hattında kesit daralmamalıdır. </w:t>
      </w:r>
    </w:p>
    <w:p w:rsidR="005A2972" w:rsidRPr="005A2972" w:rsidRDefault="005A2972" w:rsidP="0043041D">
      <w:pPr>
        <w:pStyle w:val="Default"/>
        <w:numPr>
          <w:ilvl w:val="0"/>
          <w:numId w:val="1"/>
        </w:numPr>
        <w:spacing w:after="6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Sızdırma ve kaçak yapmamalıdır. </w:t>
      </w:r>
    </w:p>
    <w:p w:rsidR="005A2972" w:rsidRPr="005A2972" w:rsidRDefault="005A2972" w:rsidP="0043041D">
      <w:pPr>
        <w:pStyle w:val="Default"/>
        <w:numPr>
          <w:ilvl w:val="0"/>
          <w:numId w:val="1"/>
        </w:numPr>
        <w:spacing w:after="6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Boru bağlantılarında hata yapılmamalıdır. </w:t>
      </w:r>
    </w:p>
    <w:p w:rsidR="005A2972" w:rsidRPr="005A2972" w:rsidRDefault="005A2972" w:rsidP="0043041D">
      <w:pPr>
        <w:pStyle w:val="Default"/>
        <w:numPr>
          <w:ilvl w:val="0"/>
          <w:numId w:val="1"/>
        </w:numPr>
        <w:spacing w:after="6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Hareketli yerlerde kullanılmamalıdır </w:t>
      </w:r>
    </w:p>
    <w:p w:rsidR="005A2972" w:rsidRPr="005A2972" w:rsidRDefault="005A2972" w:rsidP="0043041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Plastik destek ayakları ile hatlar sabitlenmelidir. </w:t>
      </w:r>
    </w:p>
    <w:p w:rsidR="0043041D" w:rsidRDefault="005A2972" w:rsidP="0043041D">
      <w:pPr>
        <w:pStyle w:val="Default"/>
        <w:ind w:right="650"/>
        <w:jc w:val="both"/>
        <w:rPr>
          <w:rFonts w:ascii="Arial" w:hAnsi="Arial" w:cs="Arial"/>
          <w:b/>
          <w:bCs/>
          <w:sz w:val="20"/>
          <w:szCs w:val="20"/>
        </w:rPr>
      </w:pPr>
      <w:r w:rsidRPr="005A2972">
        <w:rPr>
          <w:rFonts w:ascii="Arial" w:hAnsi="Arial" w:cs="Arial"/>
          <w:noProof/>
          <w:sz w:val="20"/>
          <w:szCs w:val="20"/>
          <w:lang w:eastAsia="tr-TR"/>
        </w:rPr>
        <w:lastRenderedPageBreak/>
        <w:drawing>
          <wp:inline distT="0" distB="0" distL="0" distR="0" wp14:anchorId="5CFCE47C" wp14:editId="39AAB855">
            <wp:extent cx="5753100" cy="49434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972" w:rsidRPr="005A2972" w:rsidRDefault="005A2972" w:rsidP="0043041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b/>
          <w:bCs/>
          <w:sz w:val="20"/>
          <w:szCs w:val="20"/>
        </w:rPr>
        <w:t xml:space="preserve">Hortumlar </w:t>
      </w:r>
    </w:p>
    <w:p w:rsidR="0043041D" w:rsidRDefault="0043041D" w:rsidP="0043041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A2972" w:rsidRPr="005A2972" w:rsidRDefault="005A2972" w:rsidP="0043041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>Kural olarak silindir gövdesinin veya bağlanılan elemanın hareket ettiği ya da elemanın çalışma ortamının titreşimli olduğu uygulamalarda çelik boru yerine hortum kullanılır.</w:t>
      </w:r>
    </w:p>
    <w:p w:rsidR="0043041D" w:rsidRDefault="0043041D" w:rsidP="0043041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5A2972" w:rsidRPr="005A2972" w:rsidRDefault="005A2972" w:rsidP="0043041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b/>
          <w:bCs/>
          <w:sz w:val="20"/>
          <w:szCs w:val="20"/>
        </w:rPr>
        <w:t xml:space="preserve">Hortum Seçiminde ve Montajında Dikkat Edilecek Hususlar </w:t>
      </w:r>
    </w:p>
    <w:p w:rsidR="005A2972" w:rsidRPr="005A2972" w:rsidRDefault="005A2972" w:rsidP="0043041D">
      <w:pPr>
        <w:pStyle w:val="Default"/>
        <w:numPr>
          <w:ilvl w:val="0"/>
          <w:numId w:val="2"/>
        </w:numPr>
        <w:spacing w:after="6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Basınç altında hortum boyu değişebilir. Bu tür değişmeleri (genişleme veya çekme) karşılamak üzere hortum bir parça dolaşmayacak şekilde sarkık bırakılmalıdır. </w:t>
      </w:r>
    </w:p>
    <w:p w:rsidR="005A2972" w:rsidRPr="005A2972" w:rsidRDefault="005A2972" w:rsidP="0043041D">
      <w:pPr>
        <w:pStyle w:val="Default"/>
        <w:numPr>
          <w:ilvl w:val="0"/>
          <w:numId w:val="2"/>
        </w:numPr>
        <w:spacing w:after="6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Hortum bir egzoz </w:t>
      </w:r>
      <w:proofErr w:type="spellStart"/>
      <w:r w:rsidRPr="005A2972">
        <w:rPr>
          <w:rFonts w:ascii="Arial" w:hAnsi="Arial" w:cs="Arial"/>
          <w:sz w:val="20"/>
          <w:szCs w:val="20"/>
        </w:rPr>
        <w:t>manifoldu</w:t>
      </w:r>
      <w:proofErr w:type="spellEnd"/>
      <w:r w:rsidRPr="005A2972">
        <w:rPr>
          <w:rFonts w:ascii="Arial" w:hAnsi="Arial" w:cs="Arial"/>
          <w:sz w:val="20"/>
          <w:szCs w:val="20"/>
        </w:rPr>
        <w:t xml:space="preserve"> veya bir ısı kaynağının yakınından geçiyorsa ısıya dayanıklı yalıtkan malzemesi ile korunmalıdır. </w:t>
      </w:r>
    </w:p>
    <w:p w:rsidR="005A2972" w:rsidRPr="005A2972" w:rsidRDefault="005A2972" w:rsidP="0043041D">
      <w:pPr>
        <w:pStyle w:val="Default"/>
        <w:numPr>
          <w:ilvl w:val="0"/>
          <w:numId w:val="2"/>
        </w:numPr>
        <w:spacing w:after="6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Hortum kelepçeleri hortumun sürtünme yolu ile aşınmasını azaltır. Aşınma bu yolla giderilemiyorsa hortumun üzerine koruyucu çelik veya plastik şerit takılmalıdır. </w:t>
      </w:r>
    </w:p>
    <w:p w:rsidR="005A2972" w:rsidRPr="005A2972" w:rsidRDefault="005A2972" w:rsidP="0043041D">
      <w:pPr>
        <w:pStyle w:val="Default"/>
        <w:numPr>
          <w:ilvl w:val="0"/>
          <w:numId w:val="2"/>
        </w:numPr>
        <w:spacing w:after="6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Metal hortum bağlantıları elastik değildir. Fakat uygun yerleştirilmeleri metal kısımları aşırı gerilmeleri korur. </w:t>
      </w:r>
    </w:p>
    <w:p w:rsidR="005A2972" w:rsidRPr="005A2972" w:rsidRDefault="005A2972" w:rsidP="0043041D">
      <w:pPr>
        <w:pStyle w:val="Default"/>
        <w:numPr>
          <w:ilvl w:val="0"/>
          <w:numId w:val="2"/>
        </w:numPr>
        <w:spacing w:after="6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Dönüşlerde geniş yarıçap vermek için yeterli hortum bırakılmalıdır. Aksi takdirde hortum sıkılaşarak akışı kısıtlar hatta bazen akışın tamamen kesilmesine neden olur. </w:t>
      </w:r>
    </w:p>
    <w:p w:rsidR="005A2972" w:rsidRPr="005A2972" w:rsidRDefault="005A2972" w:rsidP="0043041D">
      <w:pPr>
        <w:pStyle w:val="Default"/>
        <w:numPr>
          <w:ilvl w:val="0"/>
          <w:numId w:val="2"/>
        </w:numPr>
        <w:spacing w:after="6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90º’lik adaptörler kullanıldığında görünüş daha iyi olacak, kontrol ve bakım kolaylaşacaktır. Ayrıca daha az hortum kullanılacaktır. </w:t>
      </w:r>
    </w:p>
    <w:p w:rsidR="005A2972" w:rsidRPr="005A2972" w:rsidRDefault="005A2972" w:rsidP="0043041D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Hortum uçlarına takılan rakorlar vidalı veya </w:t>
      </w:r>
      <w:proofErr w:type="gramStart"/>
      <w:r w:rsidRPr="005A2972">
        <w:rPr>
          <w:rFonts w:ascii="Arial" w:hAnsi="Arial" w:cs="Arial"/>
          <w:sz w:val="20"/>
          <w:szCs w:val="20"/>
        </w:rPr>
        <w:t>presli</w:t>
      </w:r>
      <w:proofErr w:type="gramEnd"/>
      <w:r w:rsidRPr="005A2972">
        <w:rPr>
          <w:rFonts w:ascii="Arial" w:hAnsi="Arial" w:cs="Arial"/>
          <w:sz w:val="20"/>
          <w:szCs w:val="20"/>
        </w:rPr>
        <w:t xml:space="preserve"> olabilir. Vidalı tip rakorların sökülüp tekrar takılabilme özelliği vardır. Sarsıntının fazla olduğu ortamlarda ise </w:t>
      </w:r>
      <w:proofErr w:type="gramStart"/>
      <w:r w:rsidRPr="005A2972">
        <w:rPr>
          <w:rFonts w:ascii="Arial" w:hAnsi="Arial" w:cs="Arial"/>
          <w:sz w:val="20"/>
          <w:szCs w:val="20"/>
        </w:rPr>
        <w:t>presli</w:t>
      </w:r>
      <w:proofErr w:type="gramEnd"/>
      <w:r w:rsidRPr="005A2972">
        <w:rPr>
          <w:rFonts w:ascii="Arial" w:hAnsi="Arial" w:cs="Arial"/>
          <w:sz w:val="20"/>
          <w:szCs w:val="20"/>
        </w:rPr>
        <w:t xml:space="preserve"> tip rakorlar tercih edilmelidir. </w:t>
      </w:r>
    </w:p>
    <w:p w:rsidR="0043041D" w:rsidRDefault="0043041D" w:rsidP="0043041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5A2972" w:rsidRPr="005A2972" w:rsidRDefault="005A2972" w:rsidP="0043041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b/>
          <w:bCs/>
          <w:sz w:val="20"/>
          <w:szCs w:val="20"/>
        </w:rPr>
        <w:t xml:space="preserve">Rekorlar </w:t>
      </w:r>
    </w:p>
    <w:p w:rsidR="005A2972" w:rsidRPr="005A2972" w:rsidRDefault="005A2972" w:rsidP="0043041D">
      <w:pPr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>Hidrolik devrelerde boruların devre elemanlarına bağlanması için kullanılan aparatlardır.</w:t>
      </w:r>
    </w:p>
    <w:p w:rsidR="0043041D" w:rsidRDefault="0043041D" w:rsidP="0043041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A2972" w:rsidRPr="005A2972" w:rsidRDefault="005A2972" w:rsidP="0043041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A2972">
        <w:rPr>
          <w:rFonts w:ascii="Arial" w:hAnsi="Arial" w:cs="Arial"/>
          <w:b/>
          <w:bCs/>
          <w:sz w:val="20"/>
          <w:szCs w:val="20"/>
        </w:rPr>
        <w:lastRenderedPageBreak/>
        <w:t>HİDROLİK AKÜMÜLATÖR</w:t>
      </w:r>
    </w:p>
    <w:p w:rsidR="005A2972" w:rsidRPr="005A2972" w:rsidRDefault="005A2972" w:rsidP="0043041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b/>
          <w:bCs/>
          <w:sz w:val="20"/>
          <w:szCs w:val="20"/>
        </w:rPr>
        <w:t xml:space="preserve">Görevleri ve Sembolü </w:t>
      </w:r>
    </w:p>
    <w:p w:rsidR="005A2972" w:rsidRPr="005A2972" w:rsidRDefault="005A2972" w:rsidP="0043041D">
      <w:pPr>
        <w:pStyle w:val="Default"/>
        <w:numPr>
          <w:ilvl w:val="0"/>
          <w:numId w:val="3"/>
        </w:numPr>
        <w:spacing w:after="4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Çalışma basıncını kontrol eder. </w:t>
      </w:r>
    </w:p>
    <w:p w:rsidR="005A2972" w:rsidRPr="005A2972" w:rsidRDefault="005A2972" w:rsidP="0043041D">
      <w:pPr>
        <w:pStyle w:val="Default"/>
        <w:numPr>
          <w:ilvl w:val="0"/>
          <w:numId w:val="3"/>
        </w:numPr>
        <w:spacing w:after="4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Sistemde oluşabilecek ani şokları ortadan kaldırır. </w:t>
      </w:r>
    </w:p>
    <w:p w:rsidR="005A2972" w:rsidRPr="005A2972" w:rsidRDefault="005A2972" w:rsidP="0043041D">
      <w:pPr>
        <w:pStyle w:val="Default"/>
        <w:numPr>
          <w:ilvl w:val="0"/>
          <w:numId w:val="3"/>
        </w:numPr>
        <w:spacing w:after="4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Sızıntılardan kaynaklanan verim kayıplarını karşılar. </w:t>
      </w:r>
    </w:p>
    <w:p w:rsidR="005A2972" w:rsidRPr="005A2972" w:rsidRDefault="005A2972" w:rsidP="0043041D">
      <w:pPr>
        <w:pStyle w:val="Default"/>
        <w:numPr>
          <w:ilvl w:val="0"/>
          <w:numId w:val="3"/>
        </w:numPr>
        <w:spacing w:after="4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Isı yükselmelerinde sıvıyı soğutur. </w:t>
      </w:r>
    </w:p>
    <w:p w:rsidR="005A2972" w:rsidRPr="005A2972" w:rsidRDefault="005A2972" w:rsidP="0043041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Pompa arızalarında ve elektrik kesilmelerinde sistemi kısa bir süre besleyerek hareketin tamamlanmasını sağlar. </w:t>
      </w:r>
    </w:p>
    <w:p w:rsidR="005A2972" w:rsidRPr="005A2972" w:rsidRDefault="005A2972" w:rsidP="0043041D">
      <w:pPr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8C6F848" wp14:editId="1817E29F">
            <wp:extent cx="3295650" cy="1238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972" w:rsidRPr="005A2972" w:rsidRDefault="005A2972" w:rsidP="0043041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b/>
          <w:bCs/>
          <w:sz w:val="20"/>
          <w:szCs w:val="20"/>
        </w:rPr>
        <w:t xml:space="preserve">Hidrolik Akümülatör Çeşitleri </w:t>
      </w:r>
    </w:p>
    <w:p w:rsidR="005A2972" w:rsidRPr="005A2972" w:rsidRDefault="005A2972" w:rsidP="0043041D">
      <w:pPr>
        <w:pStyle w:val="Default"/>
        <w:numPr>
          <w:ilvl w:val="0"/>
          <w:numId w:val="4"/>
        </w:numPr>
        <w:spacing w:after="4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Ağırlıklı akümülatörler  </w:t>
      </w:r>
    </w:p>
    <w:p w:rsidR="005A2972" w:rsidRPr="005A2972" w:rsidRDefault="005A2972" w:rsidP="0043041D">
      <w:pPr>
        <w:pStyle w:val="Default"/>
        <w:numPr>
          <w:ilvl w:val="0"/>
          <w:numId w:val="4"/>
        </w:numPr>
        <w:spacing w:after="4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Yaylı akümülatörler </w:t>
      </w:r>
    </w:p>
    <w:p w:rsidR="005A2972" w:rsidRPr="005A2972" w:rsidRDefault="005A2972" w:rsidP="0043041D">
      <w:pPr>
        <w:pStyle w:val="Default"/>
        <w:numPr>
          <w:ilvl w:val="0"/>
          <w:numId w:val="4"/>
        </w:numPr>
        <w:spacing w:after="4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Gazlı akümülatörler </w:t>
      </w:r>
    </w:p>
    <w:p w:rsidR="005A2972" w:rsidRPr="005A2972" w:rsidRDefault="005A2972" w:rsidP="0043041D">
      <w:pPr>
        <w:pStyle w:val="Default"/>
        <w:numPr>
          <w:ilvl w:val="0"/>
          <w:numId w:val="4"/>
        </w:numPr>
        <w:spacing w:after="4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Pistonlu akümülatörler </w:t>
      </w:r>
    </w:p>
    <w:p w:rsidR="005A2972" w:rsidRPr="005A2972" w:rsidRDefault="005A2972" w:rsidP="0043041D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Balonlu akümülatörler  </w:t>
      </w:r>
    </w:p>
    <w:p w:rsidR="0043041D" w:rsidRDefault="0043041D" w:rsidP="0043041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5A2972" w:rsidRPr="005A2972" w:rsidRDefault="005A2972" w:rsidP="0043041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b/>
          <w:bCs/>
          <w:sz w:val="20"/>
          <w:szCs w:val="20"/>
        </w:rPr>
        <w:t xml:space="preserve">Hidrolik Akümülatörlerle Çalışırken Dikkat Edilmesi Gereken Hususlar </w:t>
      </w:r>
    </w:p>
    <w:p w:rsidR="005A2972" w:rsidRPr="005A2972" w:rsidRDefault="005A2972" w:rsidP="0043041D">
      <w:pPr>
        <w:pStyle w:val="Default"/>
        <w:numPr>
          <w:ilvl w:val="0"/>
          <w:numId w:val="5"/>
        </w:numPr>
        <w:spacing w:after="4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Kesinlikle akümülatörleri oksijen gazı ile doldurmayınız. Aksi hâlde basınç altında oksijen ve yağ karışırsa patlama olabilir. </w:t>
      </w:r>
    </w:p>
    <w:p w:rsidR="005A2972" w:rsidRPr="005A2972" w:rsidRDefault="005A2972" w:rsidP="0043041D">
      <w:pPr>
        <w:pStyle w:val="Default"/>
        <w:numPr>
          <w:ilvl w:val="0"/>
          <w:numId w:val="5"/>
        </w:numPr>
        <w:spacing w:after="4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Kesinlikle akümülatörleri hava ile doldurmayınız. </w:t>
      </w:r>
    </w:p>
    <w:p w:rsidR="005A2972" w:rsidRPr="005A2972" w:rsidRDefault="005A2972" w:rsidP="0043041D">
      <w:pPr>
        <w:pStyle w:val="Default"/>
        <w:numPr>
          <w:ilvl w:val="0"/>
          <w:numId w:val="5"/>
        </w:numPr>
        <w:spacing w:after="4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Akümülatörler kuru azot gazı ile doldurulmalıdır. </w:t>
      </w:r>
    </w:p>
    <w:p w:rsidR="005A2972" w:rsidRPr="005A2972" w:rsidRDefault="005A2972" w:rsidP="0043041D">
      <w:pPr>
        <w:pStyle w:val="Default"/>
        <w:numPr>
          <w:ilvl w:val="0"/>
          <w:numId w:val="5"/>
        </w:numPr>
        <w:spacing w:after="4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Kesinlikle akümülatörleri imalatçının tavsiye ettiği basınçtan daha fazla basınçla doldurmayınız. </w:t>
      </w:r>
    </w:p>
    <w:p w:rsidR="005A2972" w:rsidRPr="005A2972" w:rsidRDefault="005A2972" w:rsidP="0043041D">
      <w:pPr>
        <w:pStyle w:val="Default"/>
        <w:numPr>
          <w:ilvl w:val="0"/>
          <w:numId w:val="5"/>
        </w:numPr>
        <w:spacing w:after="4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Akümülatörü yerinden sökmeden önce hidrolik sistemin basıncının tamamını boşaltınız. </w:t>
      </w:r>
    </w:p>
    <w:p w:rsidR="005A2972" w:rsidRPr="005A2972" w:rsidRDefault="005A2972" w:rsidP="0043041D">
      <w:pPr>
        <w:pStyle w:val="Default"/>
        <w:numPr>
          <w:ilvl w:val="0"/>
          <w:numId w:val="5"/>
        </w:numPr>
        <w:spacing w:after="4"/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Akümülatörü söküp içini açmadan önce gaz basınçlarını tamamen boşaltınız. </w:t>
      </w:r>
    </w:p>
    <w:p w:rsidR="005A2972" w:rsidRPr="005A2972" w:rsidRDefault="005A2972" w:rsidP="0043041D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A2972">
        <w:rPr>
          <w:rFonts w:ascii="Arial" w:hAnsi="Arial" w:cs="Arial"/>
          <w:sz w:val="20"/>
          <w:szCs w:val="20"/>
        </w:rPr>
        <w:t xml:space="preserve">Yapılan tüm tamir ve bakım işlemleri esnasında akümülatöre pislik ve aşındırıcı </w:t>
      </w:r>
      <w:proofErr w:type="gramStart"/>
      <w:r w:rsidRPr="005A2972">
        <w:rPr>
          <w:rFonts w:ascii="Arial" w:hAnsi="Arial" w:cs="Arial"/>
          <w:sz w:val="20"/>
          <w:szCs w:val="20"/>
        </w:rPr>
        <w:t>partiküllerin</w:t>
      </w:r>
      <w:proofErr w:type="gramEnd"/>
      <w:r w:rsidRPr="005A2972">
        <w:rPr>
          <w:rFonts w:ascii="Arial" w:hAnsi="Arial" w:cs="Arial"/>
          <w:sz w:val="20"/>
          <w:szCs w:val="20"/>
        </w:rPr>
        <w:t xml:space="preserve"> girmesine müsaade etmeyiniz. </w:t>
      </w:r>
    </w:p>
    <w:sectPr w:rsidR="005A2972" w:rsidRPr="005A2972" w:rsidSect="0043041D">
      <w:pgSz w:w="11056" w:h="16092"/>
      <w:pgMar w:top="1135" w:right="708" w:bottom="1075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BD3"/>
    <w:multiLevelType w:val="hybridMultilevel"/>
    <w:tmpl w:val="F498F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5140"/>
    <w:multiLevelType w:val="hybridMultilevel"/>
    <w:tmpl w:val="D124121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880CA8"/>
    <w:multiLevelType w:val="hybridMultilevel"/>
    <w:tmpl w:val="D6D08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B7F7B"/>
    <w:multiLevelType w:val="hybridMultilevel"/>
    <w:tmpl w:val="56207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30C06"/>
    <w:multiLevelType w:val="hybridMultilevel"/>
    <w:tmpl w:val="CA406C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E0"/>
    <w:rsid w:val="0043041D"/>
    <w:rsid w:val="005A2972"/>
    <w:rsid w:val="00D5088A"/>
    <w:rsid w:val="00D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58F6"/>
  <w15:chartTrackingRefBased/>
  <w15:docId w15:val="{62BF90F4-6D32-4A65-AFBF-467307E0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A2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DA59-3FB1-488E-B78C-152B2143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729</Words>
  <Characters>4158</Characters>
  <Application>Microsoft Office Word</Application>
  <DocSecurity>0</DocSecurity>
  <Lines>34</Lines>
  <Paragraphs>9</Paragraphs>
  <ScaleCrop>false</ScaleCrop>
  <Company>Silentall Unattended Installer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suat</cp:lastModifiedBy>
  <cp:revision>4</cp:revision>
  <dcterms:created xsi:type="dcterms:W3CDTF">2020-03-31T09:43:00Z</dcterms:created>
  <dcterms:modified xsi:type="dcterms:W3CDTF">2020-04-01T01:00:00Z</dcterms:modified>
</cp:coreProperties>
</file>